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A31DD" w:rsidRPr="000A31DD" w:rsidTr="000A31DD">
        <w:tc>
          <w:tcPr>
            <w:tcW w:w="0" w:type="auto"/>
            <w:vAlign w:val="center"/>
            <w:hideMark/>
          </w:tcPr>
          <w:p w:rsidR="000A31DD" w:rsidRPr="000A31DD" w:rsidRDefault="00687290" w:rsidP="002D3841">
            <w:pPr>
              <w:spacing w:after="0" w:line="54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pacing w:val="30"/>
                <w:sz w:val="48"/>
                <w:szCs w:val="4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30"/>
                <w:sz w:val="48"/>
                <w:szCs w:val="48"/>
                <w:lang w:eastAsia="hu-HU"/>
              </w:rPr>
              <w:t>T</w:t>
            </w:r>
            <w:hyperlink r:id="rId6" w:history="1">
              <w:r w:rsidR="002D3841">
                <w:rPr>
                  <w:rFonts w:ascii="Arial" w:eastAsia="Times New Roman" w:hAnsi="Arial" w:cs="Arial"/>
                  <w:b/>
                  <w:bCs/>
                  <w:color w:val="1C1717"/>
                  <w:spacing w:val="30"/>
                  <w:sz w:val="48"/>
                  <w:szCs w:val="48"/>
                  <w:u w:val="single"/>
                  <w:lang w:eastAsia="hu-HU"/>
                </w:rPr>
                <w:t>ANULMÁNYÚT</w:t>
              </w:r>
              <w:r w:rsidR="000A31DD" w:rsidRPr="000A31DD">
                <w:rPr>
                  <w:rFonts w:ascii="Arial" w:eastAsia="Times New Roman" w:hAnsi="Arial" w:cs="Arial"/>
                  <w:b/>
                  <w:bCs/>
                  <w:color w:val="1C1717"/>
                  <w:spacing w:val="30"/>
                  <w:sz w:val="48"/>
                  <w:szCs w:val="48"/>
                  <w:u w:val="single"/>
                  <w:lang w:eastAsia="hu-HU"/>
                </w:rPr>
                <w:t xml:space="preserve"> AUS</w:t>
              </w:r>
              <w:r w:rsidR="002D3841">
                <w:rPr>
                  <w:rFonts w:ascii="Arial" w:eastAsia="Times New Roman" w:hAnsi="Arial" w:cs="Arial"/>
                  <w:b/>
                  <w:bCs/>
                  <w:color w:val="1C1717"/>
                  <w:spacing w:val="30"/>
                  <w:sz w:val="48"/>
                  <w:szCs w:val="48"/>
                  <w:u w:val="single"/>
                  <w:lang w:eastAsia="hu-HU"/>
                </w:rPr>
                <w:t>ZTRIÁBAN</w:t>
              </w:r>
              <w:r w:rsidR="000A31DD" w:rsidRPr="000A31DD">
                <w:rPr>
                  <w:rFonts w:ascii="Arial" w:eastAsia="Times New Roman" w:hAnsi="Arial" w:cs="Arial"/>
                  <w:b/>
                  <w:bCs/>
                  <w:color w:val="1C1717"/>
                  <w:spacing w:val="30"/>
                  <w:sz w:val="48"/>
                  <w:szCs w:val="48"/>
                  <w:u w:val="single"/>
                  <w:lang w:eastAsia="hu-HU"/>
                </w:rPr>
                <w:t xml:space="preserve">: </w:t>
              </w:r>
              <w:r w:rsidR="002D3841">
                <w:rPr>
                  <w:rFonts w:ascii="Arial" w:eastAsia="Times New Roman" w:hAnsi="Arial" w:cs="Arial"/>
                  <w:b/>
                  <w:bCs/>
                  <w:color w:val="1C1717"/>
                  <w:spacing w:val="30"/>
                  <w:sz w:val="48"/>
                  <w:szCs w:val="48"/>
                  <w:u w:val="single"/>
                  <w:lang w:eastAsia="hu-HU"/>
                </w:rPr>
                <w:t xml:space="preserve">A DIGITALIZÁCIÓ TÁMOGATÁSÁNAK JAVÍTÁSA </w:t>
              </w:r>
              <w:proofErr w:type="gramStart"/>
              <w:r w:rsidR="002D3841">
                <w:rPr>
                  <w:rFonts w:ascii="Arial" w:eastAsia="Times New Roman" w:hAnsi="Arial" w:cs="Arial"/>
                  <w:b/>
                  <w:bCs/>
                  <w:color w:val="1C1717"/>
                  <w:spacing w:val="30"/>
                  <w:sz w:val="48"/>
                  <w:szCs w:val="48"/>
                  <w:u w:val="single"/>
                  <w:lang w:eastAsia="hu-HU"/>
                </w:rPr>
                <w:t>A</w:t>
              </w:r>
              <w:proofErr w:type="gramEnd"/>
              <w:r w:rsidR="002D3841">
                <w:rPr>
                  <w:rFonts w:ascii="Arial" w:eastAsia="Times New Roman" w:hAnsi="Arial" w:cs="Arial"/>
                  <w:b/>
                  <w:bCs/>
                  <w:color w:val="1C1717"/>
                  <w:spacing w:val="30"/>
                  <w:sz w:val="48"/>
                  <w:szCs w:val="48"/>
                  <w:u w:val="single"/>
                  <w:lang w:eastAsia="hu-HU"/>
                </w:rPr>
                <w:t xml:space="preserve"> KLASZTEREK SEGÍTSÉGÉVEL</w:t>
              </w:r>
            </w:hyperlink>
          </w:p>
        </w:tc>
      </w:tr>
      <w:tr w:rsidR="000A31DD" w:rsidRPr="000A31DD" w:rsidTr="000A31DD">
        <w:trPr>
          <w:trHeight w:val="450"/>
        </w:trPr>
        <w:tc>
          <w:tcPr>
            <w:tcW w:w="0" w:type="auto"/>
            <w:vAlign w:val="center"/>
            <w:hideMark/>
          </w:tcPr>
          <w:p w:rsidR="000A31DD" w:rsidRPr="000A31DD" w:rsidRDefault="000A31DD" w:rsidP="000A31DD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hu-HU"/>
              </w:rPr>
            </w:pPr>
            <w:r w:rsidRPr="000A31D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hu-HU"/>
              </w:rPr>
              <w:t> </w:t>
            </w:r>
          </w:p>
        </w:tc>
      </w:tr>
      <w:tr w:rsidR="000A31DD" w:rsidRPr="000A31DD" w:rsidTr="000A31DD">
        <w:tc>
          <w:tcPr>
            <w:tcW w:w="0" w:type="auto"/>
            <w:vAlign w:val="center"/>
            <w:hideMark/>
          </w:tcPr>
          <w:p w:rsidR="002D3841" w:rsidRPr="000A31DD" w:rsidRDefault="002D3841" w:rsidP="0052127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Az INNO ipar</w:t>
            </w:r>
            <w:r w:rsidRPr="002D3841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D3841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interregionális</w:t>
            </w:r>
            <w:proofErr w:type="spellEnd"/>
            <w:r w:rsidRPr="002D3841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értekezlet során 50 ré</w:t>
            </w:r>
            <w:r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sztvevő gyűlt össze</w:t>
            </w:r>
            <w:r w:rsidRPr="002D3841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D3841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Kremsben</w:t>
            </w:r>
            <w:proofErr w:type="spellEnd"/>
            <w:r w:rsidRPr="002D3841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és online módon</w:t>
            </w:r>
            <w:r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is</w:t>
            </w:r>
            <w:r w:rsidRPr="002D3841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, hogy megoszthassa </w:t>
            </w:r>
            <w:r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az </w:t>
            </w:r>
            <w:proofErr w:type="gramStart"/>
            <w:r w:rsidR="0052127E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inspiráló</w:t>
            </w:r>
            <w:proofErr w:type="gramEnd"/>
            <w:r w:rsidR="0052127E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jó</w:t>
            </w:r>
            <w:r w:rsidRPr="002D3841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gyakorlatokat a kk</w:t>
            </w:r>
            <w:r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v-k digitális átalakulásában megvalósul</w:t>
            </w:r>
            <w:r w:rsidRPr="002D3841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ó támogatásának módjáról. A tanulmányút során a partnerek meglátogatták az IMC </w:t>
            </w:r>
            <w:proofErr w:type="spellStart"/>
            <w:r w:rsidRPr="002D3841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Krems</w:t>
            </w:r>
            <w:proofErr w:type="spellEnd"/>
            <w:r w:rsidRPr="002D3841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Alkalmazott Tudományos </w:t>
            </w:r>
            <w:r w:rsidR="0052127E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Egyetemet és az </w:t>
            </w:r>
            <w:proofErr w:type="spellStart"/>
            <w:r w:rsidR="0052127E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eVRyLab-ot</w:t>
            </w:r>
            <w:proofErr w:type="spellEnd"/>
            <w:r w:rsidR="0052127E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, az Alsó-ausztriai</w:t>
            </w:r>
            <w:r w:rsidRPr="002D3841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2D3841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digitalizációs</w:t>
            </w:r>
            <w:proofErr w:type="spellEnd"/>
            <w:r w:rsidRPr="002D3841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ház egyik </w:t>
            </w:r>
            <w:r w:rsidR="0052127E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köz</w:t>
            </w:r>
            <w:r w:rsidRPr="002D3841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pontját.</w:t>
            </w:r>
          </w:p>
        </w:tc>
      </w:tr>
    </w:tbl>
    <w:p w:rsidR="00272374" w:rsidRDefault="00272374"/>
    <w:p w:rsidR="000A31DD" w:rsidRDefault="000A31DD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A31DD" w:rsidRPr="000A31DD" w:rsidTr="000A31DD">
        <w:tc>
          <w:tcPr>
            <w:tcW w:w="0" w:type="auto"/>
            <w:vAlign w:val="center"/>
            <w:hideMark/>
          </w:tcPr>
          <w:p w:rsidR="000A31DD" w:rsidRPr="000A31DD" w:rsidRDefault="0052127E" w:rsidP="000A31DD">
            <w:pPr>
              <w:spacing w:after="0" w:line="54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pacing w:val="30"/>
                <w:sz w:val="48"/>
                <w:szCs w:val="4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pacing w:val="30"/>
                <w:sz w:val="48"/>
                <w:szCs w:val="48"/>
                <w:lang w:eastAsia="hu-HU"/>
              </w:rPr>
              <w:t xml:space="preserve">FEDEZZE FEL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pacing w:val="30"/>
                <w:sz w:val="48"/>
                <w:szCs w:val="48"/>
                <w:lang w:eastAsia="hu-HU"/>
              </w:rPr>
              <w:t>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pacing w:val="30"/>
                <w:sz w:val="48"/>
                <w:szCs w:val="48"/>
                <w:lang w:eastAsia="hu-HU"/>
              </w:rPr>
              <w:t xml:space="preserve"> JÓ GYAKORLATAINKAT!</w:t>
            </w:r>
          </w:p>
        </w:tc>
      </w:tr>
      <w:tr w:rsidR="000A31DD" w:rsidRPr="000A31DD" w:rsidTr="000A31DD">
        <w:trPr>
          <w:trHeight w:val="225"/>
        </w:trPr>
        <w:tc>
          <w:tcPr>
            <w:tcW w:w="0" w:type="auto"/>
            <w:vAlign w:val="center"/>
            <w:hideMark/>
          </w:tcPr>
          <w:p w:rsidR="000A31DD" w:rsidRPr="000A31DD" w:rsidRDefault="000A31DD" w:rsidP="000A31D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hu-HU"/>
              </w:rPr>
            </w:pPr>
            <w:r w:rsidRPr="000A31D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hu-HU"/>
              </w:rPr>
              <w:t> </w:t>
            </w:r>
          </w:p>
        </w:tc>
      </w:tr>
      <w:tr w:rsidR="000A31DD" w:rsidRPr="000A31DD" w:rsidTr="000A31DD">
        <w:tc>
          <w:tcPr>
            <w:tcW w:w="0" w:type="auto"/>
            <w:vAlign w:val="center"/>
            <w:hideMark/>
          </w:tcPr>
          <w:p w:rsidR="000A31DD" w:rsidRPr="000A31DD" w:rsidRDefault="000A31DD" w:rsidP="000A31D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hu-HU"/>
              </w:rPr>
            </w:pPr>
          </w:p>
        </w:tc>
      </w:tr>
      <w:tr w:rsidR="000A31DD" w:rsidRPr="000A31DD" w:rsidTr="000A31DD">
        <w:trPr>
          <w:trHeight w:val="525"/>
        </w:trPr>
        <w:tc>
          <w:tcPr>
            <w:tcW w:w="0" w:type="auto"/>
            <w:vAlign w:val="center"/>
            <w:hideMark/>
          </w:tcPr>
          <w:p w:rsidR="000A31DD" w:rsidRPr="000A31DD" w:rsidRDefault="000A31DD" w:rsidP="000A31DD">
            <w:pPr>
              <w:spacing w:after="0" w:line="52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hu-HU"/>
              </w:rPr>
            </w:pPr>
            <w:r w:rsidRPr="000A31D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hu-HU"/>
              </w:rPr>
              <w:t> </w:t>
            </w:r>
          </w:p>
        </w:tc>
      </w:tr>
      <w:tr w:rsidR="000A31DD" w:rsidRPr="000A31DD" w:rsidTr="000A31DD">
        <w:tc>
          <w:tcPr>
            <w:tcW w:w="0" w:type="auto"/>
            <w:vAlign w:val="center"/>
            <w:hideMark/>
          </w:tcPr>
          <w:p w:rsidR="000A31DD" w:rsidRPr="000A31DD" w:rsidRDefault="000A31DD" w:rsidP="000A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  <w:r w:rsidRPr="000A31DD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hu-HU"/>
              </w:rPr>
              <w:drawing>
                <wp:inline distT="0" distB="0" distL="0" distR="0">
                  <wp:extent cx="956945" cy="956945"/>
                  <wp:effectExtent l="0" t="0" r="0" b="0"/>
                  <wp:docPr id="1" name="Kép 1" descr="qu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1DD" w:rsidRPr="000A31DD" w:rsidTr="000A31DD">
        <w:trPr>
          <w:trHeight w:val="525"/>
        </w:trPr>
        <w:tc>
          <w:tcPr>
            <w:tcW w:w="0" w:type="auto"/>
            <w:vAlign w:val="center"/>
            <w:hideMark/>
          </w:tcPr>
          <w:p w:rsidR="000A31DD" w:rsidRPr="000A31DD" w:rsidRDefault="000A31DD" w:rsidP="000A31DD">
            <w:pPr>
              <w:spacing w:after="0" w:line="52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hu-HU"/>
              </w:rPr>
            </w:pPr>
            <w:r w:rsidRPr="000A31D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hu-HU"/>
              </w:rPr>
              <w:t> </w:t>
            </w:r>
          </w:p>
        </w:tc>
      </w:tr>
      <w:tr w:rsidR="000A31DD" w:rsidRPr="000A31DD" w:rsidTr="000A31DD">
        <w:tc>
          <w:tcPr>
            <w:tcW w:w="0" w:type="auto"/>
            <w:vAlign w:val="center"/>
            <w:hideMark/>
          </w:tcPr>
          <w:p w:rsidR="00956A59" w:rsidRPr="000A31DD" w:rsidRDefault="00956A59" w:rsidP="00031B1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</w:pPr>
            <w:r w:rsidRPr="00956A59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Az </w:t>
            </w:r>
            <w:proofErr w:type="spellStart"/>
            <w:r w:rsidRPr="00956A59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Interreg</w:t>
            </w:r>
            <w:proofErr w:type="spellEnd"/>
            <w:r w:rsidRPr="00956A59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Europe program kézikönyve szerint a bevált gyakorlat olyan kezdemén</w:t>
            </w:r>
            <w:r w:rsidR="00031B18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yezés (például projekt, projekt</w:t>
            </w:r>
            <w:r w:rsidRPr="00956A59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folyamat, technika), amelyet a program egyik prioritási tengelyében hajtanak végre, és amely egy </w:t>
            </w:r>
            <w:r w:rsidR="00031B18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adott </w:t>
            </w:r>
            <w:r w:rsidRPr="00956A59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régióban sikeresnek bizonyult, és amely </w:t>
            </w:r>
            <w:r w:rsidR="00031B18" w:rsidRPr="00956A59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más régiók</w:t>
            </w:r>
            <w:r w:rsidR="00031B18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nak is</w:t>
            </w:r>
            <w:r w:rsidR="00031B18" w:rsidRPr="00956A59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</w:t>
            </w:r>
            <w:r w:rsidR="00031B18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érdekes lehet. Hogy</w:t>
            </w:r>
            <w:r w:rsidRPr="00956A59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bizonyított</w:t>
            </w:r>
            <w:r w:rsidR="00031B18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an</w:t>
            </w:r>
            <w:r w:rsidRPr="00956A59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siker</w:t>
            </w:r>
            <w:r w:rsidR="00031B18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es, az</w:t>
            </w:r>
            <w:r w:rsidRPr="00956A59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azt jelenti, hogy a bevált gyakorlat már </w:t>
            </w:r>
            <w:proofErr w:type="gramStart"/>
            <w:r w:rsidRPr="00956A59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ko</w:t>
            </w:r>
            <w:r w:rsidR="00031B18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nkrét</w:t>
            </w:r>
            <w:proofErr w:type="gramEnd"/>
            <w:r w:rsidR="00031B18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és mérhető eredményeket hozott egy</w:t>
            </w:r>
            <w:r w:rsidRPr="00956A59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 xml:space="preserve"> konkrét cél elérésében</w:t>
            </w:r>
            <w:r w:rsidR="00031B18">
              <w:rPr>
                <w:rFonts w:ascii="Arial" w:eastAsia="Times New Roman" w:hAnsi="Arial" w:cs="Arial"/>
                <w:color w:val="8F96A1"/>
                <w:sz w:val="20"/>
                <w:szCs w:val="20"/>
                <w:lang w:eastAsia="hu-HU"/>
              </w:rPr>
              <w:t>.</w:t>
            </w:r>
          </w:p>
        </w:tc>
      </w:tr>
    </w:tbl>
    <w:p w:rsidR="000A31DD" w:rsidRDefault="000A31DD" w:rsidP="000A31DD"/>
    <w:p w:rsidR="000A31DD" w:rsidRDefault="000A31DD" w:rsidP="000A31DD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31DD" w:rsidRPr="000A31DD" w:rsidTr="000A31D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1DD" w:rsidRDefault="000A31DD"/>
          <w:p w:rsidR="000A31DD" w:rsidRDefault="000A31DD"/>
          <w:p w:rsidR="000A31DD" w:rsidRDefault="000A31DD"/>
          <w:p w:rsidR="000A31DD" w:rsidRDefault="000A31DD"/>
          <w:tbl>
            <w:tblPr>
              <w:tblW w:w="946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4"/>
            </w:tblGrid>
            <w:tr w:rsidR="000A31DD" w:rsidRPr="000A31DD" w:rsidTr="00E000BF">
              <w:trPr>
                <w:trHeight w:val="5446"/>
                <w:jc w:val="center"/>
              </w:trPr>
              <w:tc>
                <w:tcPr>
                  <w:tcW w:w="9464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329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3"/>
                  </w:tblGrid>
                  <w:tr w:rsidR="000A31DD" w:rsidRPr="000A31DD" w:rsidTr="000A31DD">
                    <w:trPr>
                      <w:trHeight w:val="749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22" name="Kép 22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 w:rsidTr="000A31DD">
                    <w:trPr>
                      <w:trHeight w:val="39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0A31DD">
                    <w:trPr>
                      <w:trHeight w:val="749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31B18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r w:rsidRPr="000A31D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>I</w:t>
                        </w:r>
                        <w:r w:rsidR="00031B1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>INDUSTRY 4.0 UTALVÁNY</w:t>
                        </w:r>
                      </w:p>
                    </w:tc>
                  </w:tr>
                  <w:tr w:rsidR="000A31DD" w:rsidRPr="000A31DD" w:rsidTr="000A31DD">
                    <w:trPr>
                      <w:trHeight w:val="39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0A31DD">
                    <w:trPr>
                      <w:trHeight w:val="3386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6A59" w:rsidRPr="000A31DD" w:rsidRDefault="00956A59" w:rsidP="000A31DD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támogatja az egyedi kkv-projekteket, legfeljebb 12 hónapig, amelyek célja a jelenlegi helyzet </w:t>
                        </w:r>
                        <w:r w:rsidR="00031B18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diagnosztizálására és az ipar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4.0</w:t>
                        </w:r>
                        <w:r w:rsidR="00031B18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-hoz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kapcsolódó technológiák elfogadásához vezető stratégia meghatározására irányuló tanácsadói szolgáltatások megszerzése.</w:t>
                        </w:r>
                      </w:p>
                    </w:tc>
                  </w:tr>
                </w:tbl>
                <w:p w:rsidR="000A31DD" w:rsidRPr="000A31DD" w:rsidRDefault="000A31DD" w:rsidP="000A3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pPr w:leftFromText="45" w:rightFromText="45" w:vertAnchor="text" w:horzAnchor="margin" w:tblpXSpec="center" w:tblpY="-239"/>
                    <w:tblOverlap w:val="never"/>
                    <w:tblW w:w="27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0A31DD" w:rsidRPr="000A31DD" w:rsidTr="000A31DD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21" name="Kép 21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 w:rsidTr="000A31DD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0A31DD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7E4F81" w:rsidP="00031B18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hyperlink r:id="rId10" w:history="1">
                          <w:r w:rsidR="000A31DD" w:rsidRPr="000A31DD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DIGITALIZ</w:t>
                          </w:r>
                          <w:r w:rsidR="00031B18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ÁCIÓ HÁZA</w:t>
                          </w:r>
                        </w:hyperlink>
                      </w:p>
                    </w:tc>
                  </w:tr>
                  <w:tr w:rsidR="000A31DD" w:rsidRPr="000A31DD" w:rsidTr="000A31DD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0A31DD">
                    <w:tc>
                      <w:tcPr>
                        <w:tcW w:w="0" w:type="auto"/>
                        <w:vAlign w:val="center"/>
                        <w:hideMark/>
                      </w:tcPr>
                      <w:p w:rsidR="00956A59" w:rsidRPr="000A31DD" w:rsidRDefault="00956A59" w:rsidP="00C83311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A cél az, hogy segítse a vállalatokat a digitális átalakulásban, könnyű hozzáférést biztosítson az </w:t>
                        </w:r>
                        <w:proofErr w:type="gramStart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információkhoz</w:t>
                        </w:r>
                        <w:proofErr w:type="gramEnd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, a képzéshez, az infrastruktúrához és a potenciális partnerekhez</w:t>
                        </w:r>
                        <w:r w:rsidR="00C8331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a különböző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inté</w:t>
                        </w:r>
                        <w:r w:rsidR="00031B18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zményeknek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és</w:t>
                        </w:r>
                        <w:r w:rsidR="00031B18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az egyes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ágazatokban, a</w:t>
                        </w:r>
                        <w:r w:rsidR="00C8331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kkv-khoz a 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„</w:t>
                        </w:r>
                        <w:r w:rsidR="00C8331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saját nyelvükön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”</w:t>
                        </w:r>
                        <w:r w:rsidR="00C8331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szóljon, amikor megszólítja őket,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és elősegítse a technológiaátadást az együttműködési projektekben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horzAnchor="page" w:tblpX="6139" w:tblpY="-664"/>
                    <w:tblOverlap w:val="never"/>
                    <w:tblW w:w="27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0A31DD" w:rsidRPr="000A31DD" w:rsidTr="000A31DD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 wp14:anchorId="04D22FC9" wp14:editId="0E7FD7C9">
                              <wp:extent cx="457200" cy="457200"/>
                              <wp:effectExtent l="0" t="0" r="0" b="0"/>
                              <wp:docPr id="20" name="Kép 20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 w:rsidTr="000A31DD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0A31DD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7E4F81" w:rsidP="00C83311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hyperlink r:id="rId12" w:history="1">
                          <w:r w:rsidR="00C83311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EGÉSZSÉGÜGYI TÁMOGATÓ</w:t>
                          </w:r>
                          <w:r w:rsidR="000A31DD" w:rsidRPr="000A31DD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 xml:space="preserve"> SOFTWARE</w:t>
                          </w:r>
                        </w:hyperlink>
                      </w:p>
                    </w:tc>
                  </w:tr>
                  <w:tr w:rsidR="000A31DD" w:rsidRPr="000A31DD" w:rsidTr="000A31DD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0A31DD">
                    <w:tc>
                      <w:tcPr>
                        <w:tcW w:w="0" w:type="auto"/>
                        <w:vAlign w:val="center"/>
                        <w:hideMark/>
                      </w:tcPr>
                      <w:p w:rsidR="00956A59" w:rsidRPr="000A31DD" w:rsidRDefault="00956A59" w:rsidP="00C83311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Az orvosi adatok integrált rendszere a diagnosztikai k</w:t>
                        </w:r>
                        <w:r w:rsidR="00C8331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épalkotás javítása érdekében, az egészségügyi szakszemélyzet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nek a klinikai adatokhoz való </w:t>
                        </w:r>
                        <w:proofErr w:type="gramStart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aut</w:t>
                        </w:r>
                        <w:r w:rsidR="00C8331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omatikus</w:t>
                        </w:r>
                        <w:proofErr w:type="gramEnd"/>
                        <w:r w:rsidR="00C8331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hozzáférés révén,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a műtét során a sebésznek közvetlen hozzáférése van az orvosi képekhez.</w:t>
                        </w:r>
                      </w:p>
                    </w:tc>
                  </w:tr>
                </w:tbl>
                <w:p w:rsidR="000A31DD" w:rsidRPr="000A31DD" w:rsidRDefault="000A31DD" w:rsidP="000A3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A31DD" w:rsidRPr="000A31DD" w:rsidRDefault="000A31DD" w:rsidP="000A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0A31DD" w:rsidRPr="000A31DD" w:rsidRDefault="000A31DD" w:rsidP="000A31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31DD" w:rsidRPr="000A31DD" w:rsidTr="000A31D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17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2"/>
            </w:tblGrid>
            <w:tr w:rsidR="000A31DD" w:rsidRPr="000A31DD" w:rsidTr="00E67AB0">
              <w:trPr>
                <w:jc w:val="center"/>
              </w:trPr>
              <w:tc>
                <w:tcPr>
                  <w:tcW w:w="9172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297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7"/>
                  </w:tblGrid>
                  <w:tr w:rsidR="000A31DD" w:rsidRPr="000A31DD" w:rsidTr="00E67AB0">
                    <w:tc>
                      <w:tcPr>
                        <w:tcW w:w="2977" w:type="dxa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 wp14:anchorId="2805282F" wp14:editId="68E36199">
                              <wp:extent cx="457200" cy="457200"/>
                              <wp:effectExtent l="0" t="0" r="0" b="0"/>
                              <wp:docPr id="19" name="Kép 19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 w:rsidTr="00E67AB0">
                    <w:trPr>
                      <w:trHeight w:val="375"/>
                    </w:trPr>
                    <w:tc>
                      <w:tcPr>
                        <w:tcW w:w="2977" w:type="dxa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67AB0">
                    <w:tc>
                      <w:tcPr>
                        <w:tcW w:w="2977" w:type="dxa"/>
                        <w:vAlign w:val="center"/>
                        <w:hideMark/>
                      </w:tcPr>
                      <w:p w:rsidR="000A31DD" w:rsidRPr="000A31DD" w:rsidRDefault="007E4F81" w:rsidP="00C83311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hyperlink r:id="rId14" w:history="1">
                          <w:r w:rsidR="00C83311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 xml:space="preserve">TERMÉK ÉS </w:t>
                          </w:r>
                          <w:proofErr w:type="gramStart"/>
                          <w:r w:rsidR="00C83311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SZOLGÁLTATÁS REKLÁMOZÁSI</w:t>
                          </w:r>
                          <w:proofErr w:type="gramEnd"/>
                          <w:r w:rsidR="000A31DD" w:rsidRPr="000A31DD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 xml:space="preserve"> </w:t>
                          </w:r>
                          <w:r w:rsidR="000A31DD" w:rsidRPr="000A31DD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PLATFORM</w:t>
                          </w:r>
                        </w:hyperlink>
                      </w:p>
                    </w:tc>
                  </w:tr>
                  <w:tr w:rsidR="000A31DD" w:rsidRPr="000A31DD" w:rsidTr="00E67AB0">
                    <w:trPr>
                      <w:trHeight w:val="375"/>
                    </w:trPr>
                    <w:tc>
                      <w:tcPr>
                        <w:tcW w:w="2977" w:type="dxa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67AB0">
                    <w:tc>
                      <w:tcPr>
                        <w:tcW w:w="2977" w:type="dxa"/>
                        <w:vAlign w:val="center"/>
                        <w:hideMark/>
                      </w:tcPr>
                      <w:p w:rsidR="00956A59" w:rsidRPr="000A31DD" w:rsidRDefault="00956A59" w:rsidP="00783CF5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Ennek a platformnak a célja a Habitat értéklánc </w:t>
                        </w:r>
                        <w:r w:rsidR="00783CF5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ismertté tétele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r w:rsidR="00783CF5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országos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és nemzetközi szinten, előmozdítva az innováció és az üzleti lehetőségek közötti 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lastRenderedPageBreak/>
                          <w:t>együttműködést a vállalatok, a K + F központok és más szervezetek közöt</w:t>
                        </w:r>
                        <w:r w:rsidR="00783CF5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t.</w:t>
                        </w:r>
                      </w:p>
                    </w:tc>
                  </w:tr>
                </w:tbl>
                <w:p w:rsidR="000A31DD" w:rsidRPr="000A31DD" w:rsidRDefault="000A31DD" w:rsidP="000A3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pPr w:leftFromText="45" w:rightFromText="45" w:vertAnchor="text"/>
                    <w:tblW w:w="324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1"/>
                  </w:tblGrid>
                  <w:tr w:rsidR="000A31DD" w:rsidRPr="000A31DD" w:rsidTr="00E67AB0">
                    <w:trPr>
                      <w:trHeight w:val="362"/>
                    </w:trPr>
                    <w:tc>
                      <w:tcPr>
                        <w:tcW w:w="3241" w:type="dxa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 wp14:anchorId="714CC64D" wp14:editId="29607CD2">
                              <wp:extent cx="457200" cy="457200"/>
                              <wp:effectExtent l="0" t="0" r="0" b="0"/>
                              <wp:docPr id="18" name="Kép 18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 w:rsidTr="00E67AB0">
                    <w:trPr>
                      <w:trHeight w:val="189"/>
                    </w:trPr>
                    <w:tc>
                      <w:tcPr>
                        <w:tcW w:w="3241" w:type="dxa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67AB0">
                    <w:trPr>
                      <w:trHeight w:val="362"/>
                    </w:trPr>
                    <w:tc>
                      <w:tcPr>
                        <w:tcW w:w="3241" w:type="dxa"/>
                        <w:vAlign w:val="center"/>
                        <w:hideMark/>
                      </w:tcPr>
                      <w:p w:rsidR="000A31DD" w:rsidRPr="000A31DD" w:rsidRDefault="00783CF5" w:rsidP="00783CF5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>TENGERÉSZETI CYBER BIZTONSÁGI KÖZPONT</w:t>
                        </w:r>
                      </w:p>
                    </w:tc>
                  </w:tr>
                  <w:tr w:rsidR="000A31DD" w:rsidRPr="000A31DD" w:rsidTr="00E67AB0">
                    <w:trPr>
                      <w:trHeight w:val="189"/>
                    </w:trPr>
                    <w:tc>
                      <w:tcPr>
                        <w:tcW w:w="3241" w:type="dxa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67AB0">
                    <w:trPr>
                      <w:trHeight w:val="1639"/>
                    </w:trPr>
                    <w:tc>
                      <w:tcPr>
                        <w:tcW w:w="3241" w:type="dxa"/>
                        <w:vAlign w:val="center"/>
                        <w:hideMark/>
                      </w:tcPr>
                      <w:p w:rsidR="00956A59" w:rsidRPr="000A31DD" w:rsidRDefault="00956A59" w:rsidP="004E1305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Középpontjában a digitális átalakítás és a technológiaátadás lehetővé tétele</w:t>
                        </w:r>
                        <w:r w:rsidR="00783CF5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áll</w:t>
                        </w:r>
                        <w:r w:rsidR="004E1305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a fekete-tengeri kikötők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közösség</w:t>
                        </w:r>
                        <w:r w:rsidR="004E1305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ei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ben. Ez a gyakorlat </w:t>
                        </w:r>
                        <w:r w:rsidR="004E1305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teljes egészében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befolyásolja a kikötői tevékenységeket, mivel ezeket a folyamatokat koherensebbé teszi, gyorsabban mozgatja a rakományt és növeli a kikötői forgalmat; </w:t>
                        </w:r>
                        <w:r w:rsidR="004E1305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és ilyen módon, 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végül </w:t>
                        </w:r>
                        <w:r w:rsidR="004E1305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is, 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megkönnyíti a kereskedelmet</w:t>
                        </w:r>
                        <w:r w:rsidR="004E1305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.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283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5"/>
                  </w:tblGrid>
                  <w:tr w:rsidR="000A31DD" w:rsidRPr="000A31DD" w:rsidTr="00E000BF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 wp14:anchorId="75A16013" wp14:editId="4AEFA64C">
                              <wp:extent cx="457200" cy="457200"/>
                              <wp:effectExtent l="0" t="0" r="0" b="0"/>
                              <wp:docPr id="17" name="Kép 17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 w:rsidTr="00E000BF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000BF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7E4F81" w:rsidP="004E1305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hyperlink r:id="rId17" w:history="1">
                          <w:r w:rsidR="004E1305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MESTERSÉGES</w:t>
                          </w:r>
                        </w:hyperlink>
                        <w:r w:rsidR="004E1305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 xml:space="preserve"> </w:t>
                        </w:r>
                        <w:proofErr w:type="gramStart"/>
                        <w:r w:rsidR="004E1305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>INTELLIGENCIA KEZDEMÉNYEZÉS</w:t>
                        </w:r>
                        <w:proofErr w:type="gramEnd"/>
                      </w:p>
                    </w:tc>
                  </w:tr>
                  <w:tr w:rsidR="000A31DD" w:rsidRPr="000A31DD" w:rsidTr="00E000BF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000BF">
                    <w:tc>
                      <w:tcPr>
                        <w:tcW w:w="0" w:type="auto"/>
                        <w:vAlign w:val="center"/>
                        <w:hideMark/>
                      </w:tcPr>
                      <w:p w:rsidR="00956A59" w:rsidRPr="000A31DD" w:rsidRDefault="00956A59" w:rsidP="004E1305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Az „AI </w:t>
                        </w:r>
                        <w:proofErr w:type="spellStart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Space</w:t>
                        </w:r>
                        <w:proofErr w:type="spellEnd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” leh</w:t>
                        </w:r>
                        <w:r w:rsidR="004E1305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etőséget kínál arra, hogy az mesterséges intelligenciá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t élőben élvezzék </w:t>
                        </w:r>
                        <w:r w:rsidR="004E1305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a 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különböző </w:t>
                        </w:r>
                        <w:r w:rsidR="004E1305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bemutatók 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segítségével. Célja a tudato</w:t>
                        </w:r>
                        <w:r w:rsidR="004E1305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sság növelése, az, hogy leküzdjük azokat az akadályokat, amelyek a mesterséges intelligencia kezelésében bekövetkezhetnek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, valamint a vállalatok innovációs képességének további ösztönzése</w:t>
                        </w:r>
                        <w:r w:rsidR="004E1305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.</w:t>
                        </w:r>
                      </w:p>
                    </w:tc>
                  </w:tr>
                </w:tbl>
                <w:p w:rsidR="000A31DD" w:rsidRPr="000A31DD" w:rsidRDefault="000A31DD" w:rsidP="000A3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A31DD" w:rsidRPr="000A31DD" w:rsidRDefault="000A31DD" w:rsidP="000A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0A31DD" w:rsidRDefault="000A31DD" w:rsidP="000A31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E67AB0" w:rsidRDefault="00E67AB0" w:rsidP="000A31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E67AB0" w:rsidRDefault="00E67AB0" w:rsidP="000A31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E67AB0" w:rsidRDefault="00E67AB0" w:rsidP="000A31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E67AB0" w:rsidRPr="000A31DD" w:rsidRDefault="00E67AB0" w:rsidP="000A31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31DD" w:rsidRPr="000A31DD" w:rsidTr="000A31D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31DD" w:rsidRPr="000A31DD">
              <w:trPr>
                <w:trHeight w:val="7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31DD" w:rsidRPr="000A31DD" w:rsidRDefault="000A31DD" w:rsidP="000A31DD">
                  <w:pPr>
                    <w:spacing w:after="0" w:line="7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u-HU"/>
                    </w:rPr>
                  </w:pPr>
                  <w:r w:rsidRPr="000A31DD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u-HU"/>
                    </w:rPr>
                    <w:t> </w:t>
                  </w:r>
                </w:p>
              </w:tc>
            </w:tr>
            <w:tr w:rsidR="000A31DD" w:rsidRPr="000A31D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horzAnchor="margin" w:tblpY="300"/>
                    <w:tblOverlap w:val="never"/>
                    <w:tblW w:w="27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0A31DD" w:rsidRPr="000A31DD" w:rsidTr="00E67AB0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16" name="Kép 16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 w:rsidTr="00E67AB0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67AB0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7E4F81" w:rsidP="004E1305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hyperlink r:id="rId19" w:history="1">
                          <w:r w:rsidR="004E1305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ÜZLETI</w:t>
                          </w:r>
                        </w:hyperlink>
                        <w:r w:rsidR="004E1305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 xml:space="preserve"> </w:t>
                        </w:r>
                        <w:proofErr w:type="gramStart"/>
                        <w:r w:rsidR="004E1305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>ÉS</w:t>
                        </w:r>
                        <w:proofErr w:type="gramEnd"/>
                        <w:r w:rsidR="004E1305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 xml:space="preserve"> KÖZÖS SZOLGÁLTATÓI KÖZPONT</w:t>
                        </w:r>
                      </w:p>
                    </w:tc>
                  </w:tr>
                  <w:tr w:rsidR="000A31DD" w:rsidRPr="000A31DD" w:rsidTr="00E67AB0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67AB0">
                    <w:tc>
                      <w:tcPr>
                        <w:tcW w:w="0" w:type="auto"/>
                        <w:vAlign w:val="center"/>
                        <w:hideMark/>
                      </w:tcPr>
                      <w:p w:rsidR="00956A59" w:rsidRPr="000A31DD" w:rsidRDefault="00956A59" w:rsidP="000A31DD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lastRenderedPageBreak/>
                          <w:t xml:space="preserve">A projekt célja a demográfiai és gazdasági hanyatlás leküzdése azáltal, hogy informatikai és infrastrukturális </w:t>
                        </w:r>
                        <w:proofErr w:type="gramStart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kompetenciákat</w:t>
                        </w:r>
                        <w:proofErr w:type="gramEnd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biztosít a vállalkozások és az induló vállalkozások számára. Infrastruktúrát és készségeket biztosít az intelligens, fenntartható vállalkozások számára, a TICE-re összpontosítva</w:t>
                        </w:r>
                      </w:p>
                    </w:tc>
                  </w:tr>
                </w:tbl>
                <w:p w:rsidR="000A31DD" w:rsidRPr="000A31DD" w:rsidRDefault="000A31DD" w:rsidP="000A3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pPr w:leftFromText="45" w:rightFromText="45" w:vertAnchor="text"/>
                    <w:tblW w:w="319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4"/>
                  </w:tblGrid>
                  <w:tr w:rsidR="000A31DD" w:rsidRPr="000A31DD" w:rsidTr="00742992">
                    <w:trPr>
                      <w:trHeight w:val="711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15" name="Kép 15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 w:rsidTr="00742992">
                    <w:trPr>
                      <w:trHeight w:val="37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742992">
                    <w:trPr>
                      <w:trHeight w:val="107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4E1305" w:rsidP="000A31DD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>300 DARAB IPAR 4.0 TRÉNING VIDEOPIRULA</w:t>
                        </w:r>
                      </w:p>
                    </w:tc>
                  </w:tr>
                  <w:tr w:rsidR="000A31DD" w:rsidRPr="000A31DD" w:rsidTr="00742992">
                    <w:trPr>
                      <w:trHeight w:val="37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742992">
                    <w:trPr>
                      <w:trHeight w:val="3556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6A59" w:rsidRPr="000A31DD" w:rsidRDefault="00956A59" w:rsidP="000A31DD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Az IN4WOOD tananyagok áttekintést nyújtanak a f</w:t>
                        </w:r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a- és bútoripar termelési vezető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inek és vezérigazgatóinak</w:t>
                        </w:r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a vállalkozás sajátos igényeirő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l az ipar 4.0 kulcsfontosságú alaptechnológiáira vonatkozóan</w:t>
                        </w:r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.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27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0A31DD" w:rsidRPr="000A31DD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 wp14:anchorId="2F82E938" wp14:editId="4C39C6DC">
                              <wp:extent cx="457200" cy="457200"/>
                              <wp:effectExtent l="0" t="0" r="0" b="0"/>
                              <wp:docPr id="14" name="Kép 14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7E4F81" w:rsidP="000A31DD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"https://www.interregeurope.eu/policylearning/good-practices/item/4035/transylvania-info-portal/" </w:instrText>
                        </w:r>
                        <w:r>
                          <w:fldChar w:fldCharType="separate"/>
                        </w:r>
                        <w:r w:rsidR="00874940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>E-T</w:t>
                        </w:r>
                        <w:bookmarkStart w:id="0" w:name="_GoBack"/>
                        <w:bookmarkEnd w:id="0"/>
                        <w:r w:rsidR="002F2551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>URIZMUS</w:t>
                        </w:r>
                        <w:r w:rsidR="000A31DD" w:rsidRPr="000A31D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 xml:space="preserve"> INFO </w:t>
                        </w:r>
                        <w:r w:rsidR="002F2551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>PORTÁ</w:t>
                        </w:r>
                        <w:r w:rsidR="000A31DD" w:rsidRPr="000A31D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>L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fldChar w:fldCharType="end"/>
                        </w:r>
                      </w:p>
                    </w:tc>
                  </w:tr>
                  <w:tr w:rsidR="000A31DD" w:rsidRPr="000A31DD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>
                    <w:tc>
                      <w:tcPr>
                        <w:tcW w:w="0" w:type="auto"/>
                        <w:vAlign w:val="center"/>
                        <w:hideMark/>
                      </w:tcPr>
                      <w:p w:rsidR="00956A59" w:rsidRPr="000A31DD" w:rsidRDefault="00956A59" w:rsidP="000A31DD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Az e-turizmus a folyamatok és az értékláncok digitalizálását írja le hatékonyságának optimalizálása érdekében, és magában foglalja az e-információkat, az e-foglalást (szállodák, közlekedési eszközök</w:t>
                        </w:r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, stb.) é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s az elektronikus fizetést</w:t>
                        </w:r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is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. A portálon közzétett </w:t>
                        </w:r>
                        <w:proofErr w:type="gramStart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információk</w:t>
                        </w:r>
                        <w:proofErr w:type="gramEnd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QR-kódokat, GPS-koordinátákat, digitális útmutatókat és okostelefon-alkalmazásokat tartalmaznak</w:t>
                        </w:r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.</w:t>
                        </w:r>
                      </w:p>
                    </w:tc>
                  </w:tr>
                </w:tbl>
                <w:p w:rsidR="000A31DD" w:rsidRPr="000A31DD" w:rsidRDefault="000A31DD" w:rsidP="000A3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A31DD" w:rsidRPr="000A31DD">
              <w:trPr>
                <w:trHeight w:val="7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31DD" w:rsidRPr="000A31DD" w:rsidRDefault="000A31DD" w:rsidP="000A31DD">
                  <w:pPr>
                    <w:spacing w:after="0" w:line="7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u-HU"/>
                    </w:rPr>
                  </w:pPr>
                  <w:r w:rsidRPr="000A31DD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u-HU"/>
                    </w:rPr>
                    <w:lastRenderedPageBreak/>
                    <w:t> </w:t>
                  </w:r>
                </w:p>
              </w:tc>
            </w:tr>
          </w:tbl>
          <w:p w:rsidR="000A31DD" w:rsidRPr="000A31DD" w:rsidRDefault="000A31DD" w:rsidP="000A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742992" w:rsidRDefault="00742992" w:rsidP="000A31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742992" w:rsidRDefault="00742992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br w:type="page"/>
      </w:r>
    </w:p>
    <w:p w:rsidR="00742992" w:rsidRDefault="00742992" w:rsidP="000A31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0A31DD" w:rsidRPr="000A31DD" w:rsidRDefault="000A31DD" w:rsidP="000A31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31DD" w:rsidRPr="000A31DD" w:rsidTr="000A31D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4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9"/>
            </w:tblGrid>
            <w:tr w:rsidR="000A31DD" w:rsidRPr="000A31DD" w:rsidTr="000A31DD">
              <w:trPr>
                <w:trHeight w:val="750"/>
                <w:jc w:val="center"/>
              </w:trPr>
              <w:tc>
                <w:tcPr>
                  <w:tcW w:w="10049" w:type="dxa"/>
                  <w:vAlign w:val="center"/>
                  <w:hideMark/>
                </w:tcPr>
                <w:p w:rsidR="000A31DD" w:rsidRPr="000A31DD" w:rsidRDefault="000A31DD" w:rsidP="000A31DD">
                  <w:pPr>
                    <w:spacing w:after="0" w:line="7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u-HU"/>
                    </w:rPr>
                  </w:pPr>
                  <w:r w:rsidRPr="000A31DD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u-HU"/>
                    </w:rPr>
                    <w:t> </w:t>
                  </w:r>
                </w:p>
              </w:tc>
            </w:tr>
            <w:tr w:rsidR="000A31DD" w:rsidRPr="000A31DD" w:rsidTr="000A31DD">
              <w:trPr>
                <w:jc w:val="center"/>
              </w:trPr>
              <w:tc>
                <w:tcPr>
                  <w:tcW w:w="10049" w:type="dxa"/>
                  <w:vAlign w:val="center"/>
                  <w:hideMark/>
                </w:tcPr>
                <w:tbl>
                  <w:tblPr>
                    <w:tblpPr w:leftFromText="45" w:rightFromText="45" w:vertAnchor="text" w:tblpX="567"/>
                    <w:tblW w:w="304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7"/>
                  </w:tblGrid>
                  <w:tr w:rsidR="000A31DD" w:rsidRPr="000A31DD" w:rsidTr="00E000BF">
                    <w:trPr>
                      <w:trHeight w:val="681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13" name="Kép 13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 w:rsidTr="00E000BF">
                    <w:trPr>
                      <w:trHeight w:val="354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000BF">
                    <w:trPr>
                      <w:trHeight w:val="1029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7E4F81" w:rsidP="002F2551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hyperlink r:id="rId23" w:history="1">
                          <w:r w:rsidR="002F2551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 xml:space="preserve">DIGITALIZÁCIÓS MÓDSZER </w:t>
                          </w:r>
                          <w:proofErr w:type="gramStart"/>
                          <w:r w:rsidR="002F2551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A</w:t>
                          </w:r>
                          <w:proofErr w:type="gramEnd"/>
                          <w:r w:rsidR="002F2551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 xml:space="preserve"> GYORS BEINDULÁSHOZ</w:t>
                          </w:r>
                        </w:hyperlink>
                      </w:p>
                    </w:tc>
                  </w:tr>
                  <w:tr w:rsidR="000A31DD" w:rsidRPr="000A31DD" w:rsidTr="00E000BF">
                    <w:trPr>
                      <w:trHeight w:val="354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000BF">
                    <w:trPr>
                      <w:trHeight w:val="40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956A59" w:rsidP="002F2551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lastRenderedPageBreak/>
                          <w:t xml:space="preserve">A </w:t>
                        </w:r>
                        <w:proofErr w:type="spellStart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Kickstart</w:t>
                        </w:r>
                        <w:proofErr w:type="spellEnd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a legnagyobb </w:t>
                        </w:r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országos kezdeményezés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a digitális készségek és a digitális technológia felhasználásának elősegítésére a kkv-k körében a gyártó szektorba</w:t>
                        </w:r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n. A </w:t>
                        </w:r>
                        <w:proofErr w:type="spellStart"/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Kickstart</w:t>
                        </w:r>
                        <w:proofErr w:type="spellEnd"/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célja, hogy a Kkv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-k kulcsfontosságú képviselői megértsék, mi </w:t>
                        </w:r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az 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a </w:t>
                        </w:r>
                        <w:proofErr w:type="spellStart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digitalizáció</w:t>
                        </w:r>
                        <w:proofErr w:type="spellEnd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, mit jelent ez vállalkozásuk számára, és megkezdjék </w:t>
                        </w:r>
                        <w:proofErr w:type="spellStart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digitalizációjukat</w:t>
                        </w:r>
                        <w:proofErr w:type="spellEnd"/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, hogy eljussanak az Ipar 4.0-hoz</w:t>
                        </w:r>
                        <w:r w:rsidR="000A31DD" w:rsidRPr="000A31D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.</w:t>
                        </w:r>
                      </w:p>
                    </w:tc>
                  </w:tr>
                </w:tbl>
                <w:p w:rsidR="000A31DD" w:rsidRPr="000A31DD" w:rsidRDefault="000A31DD" w:rsidP="000A3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pPr w:leftFromText="45" w:rightFromText="45" w:vertAnchor="text"/>
                    <w:tblW w:w="299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7"/>
                  </w:tblGrid>
                  <w:tr w:rsidR="000A31DD" w:rsidRPr="000A31DD" w:rsidTr="00E000BF">
                    <w:trPr>
                      <w:trHeight w:val="72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12" name="Kép 12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 w:rsidTr="00E000BF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000BF">
                    <w:trPr>
                      <w:trHeight w:val="108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7E4F81" w:rsidP="002F2551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hyperlink r:id="rId25" w:history="1">
                          <w:r w:rsidR="002F2551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KISSEBB</w:t>
                          </w:r>
                        </w:hyperlink>
                        <w:r w:rsidR="002F2551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 xml:space="preserve"> TÁMOGATÁSOK </w:t>
                        </w:r>
                        <w:proofErr w:type="gramStart"/>
                        <w:r w:rsidR="002F2551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>A</w:t>
                        </w:r>
                        <w:proofErr w:type="gramEnd"/>
                        <w:r w:rsidR="002F2551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 xml:space="preserve"> KKV-K SZÁMÁRA</w:t>
                        </w:r>
                      </w:p>
                    </w:tc>
                  </w:tr>
                  <w:tr w:rsidR="000A31DD" w:rsidRPr="000A31DD" w:rsidTr="00E000BF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000BF">
                    <w:trPr>
                      <w:trHeight w:val="432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6A59" w:rsidRPr="000A31DD" w:rsidRDefault="00956A59" w:rsidP="002F2551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Ezen utalványok elsődleges célja a kkv-k pénzügyi támogatása a különféle területeken nyújtott szolgáltatások társfinanszírozásával, és </w:t>
                        </w:r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ilyen módon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a kkv-k versenyképességének és </w:t>
                        </w:r>
                        <w:proofErr w:type="gramStart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kompetenciáinak</w:t>
                        </w:r>
                        <w:proofErr w:type="gramEnd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pozitív b</w:t>
                        </w:r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efolyásolása. Ami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meg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különbözteti meg ezeket az ösztönzőket a többitől, az az, hogy a külső tanácsadók költségeit is fedezik.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horzAnchor="page" w:tblpX="6765" w:tblpY="-251"/>
                    <w:tblOverlap w:val="never"/>
                    <w:tblW w:w="27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E000BF" w:rsidRPr="000A31DD" w:rsidTr="00E000BF">
                    <w:tc>
                      <w:tcPr>
                        <w:tcW w:w="0" w:type="auto"/>
                        <w:vAlign w:val="center"/>
                        <w:hideMark/>
                      </w:tcPr>
                      <w:p w:rsidR="00E000BF" w:rsidRPr="000A31DD" w:rsidRDefault="00E000BF" w:rsidP="00E000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 wp14:anchorId="78AAFB60" wp14:editId="527A99F2">
                              <wp:extent cx="457200" cy="457200"/>
                              <wp:effectExtent l="0" t="0" r="0" b="0"/>
                              <wp:docPr id="11" name="Kép 11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000BF" w:rsidRPr="000A31DD" w:rsidTr="00E000BF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00BF" w:rsidRPr="000A31DD" w:rsidRDefault="00E000BF" w:rsidP="00E000BF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E000BF" w:rsidRPr="000A31DD" w:rsidTr="00E000BF">
                    <w:tc>
                      <w:tcPr>
                        <w:tcW w:w="0" w:type="auto"/>
                        <w:vAlign w:val="center"/>
                        <w:hideMark/>
                      </w:tcPr>
                      <w:p w:rsidR="00E000BF" w:rsidRPr="000A31DD" w:rsidRDefault="007E4F81" w:rsidP="002F2551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hyperlink r:id="rId27" w:history="1">
                          <w:r w:rsidR="002F2551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ADALÉKANYAG</w:t>
                          </w:r>
                        </w:hyperlink>
                        <w:r w:rsidR="002F2551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>-GYÁRTÁSI KONGRESSZUS</w:t>
                        </w:r>
                      </w:p>
                    </w:tc>
                  </w:tr>
                  <w:tr w:rsidR="00E000BF" w:rsidRPr="000A31DD" w:rsidTr="00E000BF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00BF" w:rsidRPr="000A31DD" w:rsidRDefault="00E000BF" w:rsidP="00E000BF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E000BF" w:rsidRPr="000A31DD" w:rsidTr="00E000BF">
                    <w:tc>
                      <w:tcPr>
                        <w:tcW w:w="0" w:type="auto"/>
                        <w:vAlign w:val="center"/>
                        <w:hideMark/>
                      </w:tcPr>
                      <w:p w:rsidR="00956A59" w:rsidRPr="000A31DD" w:rsidRDefault="00956A59" w:rsidP="00194D07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Az </w:t>
                        </w:r>
                        <w:proofErr w:type="spellStart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Aditiva</w:t>
                        </w:r>
                        <w:proofErr w:type="spellEnd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4.0 célja az adalékanyag-gyártással kapcsolatos ismeretek </w:t>
                        </w:r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kiszélesítése,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és a vállalatok elkötelezettségének </w:t>
                        </w:r>
                        <w:r w:rsidR="002F2551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a támogatása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a 4.0 követelményekhez való alkalmazkodás szempontjából olyan </w:t>
                        </w:r>
                        <w:r w:rsidR="00194D07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különböző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ágazatokban, mint oktatás, egészségügy, sport, repülőgépipar és autóipar, az agrárágazat, az építőipar vagy akár az úgynevezett negyedik. ágazat</w:t>
                        </w:r>
                        <w:r w:rsidR="00194D07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.</w:t>
                        </w:r>
                      </w:p>
                    </w:tc>
                  </w:tr>
                </w:tbl>
                <w:p w:rsidR="000A31DD" w:rsidRPr="000A31DD" w:rsidRDefault="000A31DD" w:rsidP="000A3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pPr w:leftFromText="45" w:rightFromText="45" w:vertAnchor="text"/>
                    <w:tblW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</w:tblGrid>
                  <w:tr w:rsidR="000A31DD" w:rsidRPr="000A31DD">
                    <w:trPr>
                      <w:trHeight w:val="450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0A31DD" w:rsidRPr="000A31DD" w:rsidRDefault="000A31DD" w:rsidP="000A3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A31DD" w:rsidRPr="000A31DD" w:rsidTr="000A31DD">
              <w:trPr>
                <w:trHeight w:val="750"/>
                <w:jc w:val="center"/>
              </w:trPr>
              <w:tc>
                <w:tcPr>
                  <w:tcW w:w="10049" w:type="dxa"/>
                  <w:vAlign w:val="center"/>
                  <w:hideMark/>
                </w:tcPr>
                <w:p w:rsidR="000A31DD" w:rsidRPr="000A31DD" w:rsidRDefault="000A31DD" w:rsidP="000A31DD">
                  <w:pPr>
                    <w:spacing w:after="0" w:line="7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u-HU"/>
                    </w:rPr>
                  </w:pPr>
                  <w:r w:rsidRPr="000A31DD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u-HU"/>
                    </w:rPr>
                    <w:lastRenderedPageBreak/>
                    <w:t> </w:t>
                  </w:r>
                </w:p>
              </w:tc>
            </w:tr>
          </w:tbl>
          <w:p w:rsidR="000A31DD" w:rsidRPr="000A31DD" w:rsidRDefault="000A31DD" w:rsidP="000A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E000BF" w:rsidRDefault="00E000BF" w:rsidP="000A31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E000BF" w:rsidRDefault="00E000BF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br w:type="page"/>
      </w:r>
    </w:p>
    <w:p w:rsidR="000A31DD" w:rsidRPr="000A31DD" w:rsidRDefault="000A31DD" w:rsidP="000A31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31DD" w:rsidRPr="000A31DD" w:rsidTr="000A31D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31DD" w:rsidRPr="000A31DD">
              <w:trPr>
                <w:trHeight w:val="7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31DD" w:rsidRPr="000A31DD" w:rsidRDefault="000A31DD" w:rsidP="000A31DD">
                  <w:pPr>
                    <w:spacing w:after="0" w:line="7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u-HU"/>
                    </w:rPr>
                  </w:pPr>
                  <w:r w:rsidRPr="000A31DD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u-HU"/>
                    </w:rPr>
                    <w:t> </w:t>
                  </w:r>
                </w:p>
              </w:tc>
            </w:tr>
            <w:tr w:rsidR="000A31DD" w:rsidRPr="000A31D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horzAnchor="margin" w:tblpY="300"/>
                    <w:tblOverlap w:val="never"/>
                    <w:tblW w:w="27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0A31DD" w:rsidRPr="000A31DD" w:rsidTr="00E67AB0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10" name="Kép 10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 w:rsidTr="00E67AB0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67AB0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7E4F81" w:rsidP="001740CC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hyperlink r:id="rId29" w:history="1">
                          <w:r w:rsidR="001740CC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NYÍLT ADATOK</w:t>
                          </w:r>
                          <w:r w:rsidR="000A31DD" w:rsidRPr="000A31DD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 xml:space="preserve"> </w:t>
                          </w:r>
                          <w:proofErr w:type="gramStart"/>
                          <w:r w:rsidR="000A31DD" w:rsidRPr="000A31DD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PLATFORM</w:t>
                          </w:r>
                          <w:proofErr w:type="gramEnd"/>
                        </w:hyperlink>
                        <w:r w:rsidR="001740C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>JA</w:t>
                        </w:r>
                      </w:p>
                    </w:tc>
                  </w:tr>
                  <w:tr w:rsidR="000A31DD" w:rsidRPr="000A31DD" w:rsidTr="00E67AB0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67AB0">
                    <w:tc>
                      <w:tcPr>
                        <w:tcW w:w="0" w:type="auto"/>
                        <w:vAlign w:val="center"/>
                        <w:hideMark/>
                      </w:tcPr>
                      <w:p w:rsidR="00956A59" w:rsidRPr="000A31DD" w:rsidRDefault="001740CC" w:rsidP="001740CC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A</w:t>
                        </w:r>
                        <w:proofErr w:type="gramEnd"/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OneTRANSPORT</w:t>
                        </w:r>
                        <w:proofErr w:type="spellEnd"/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a 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kormányzati szervek </w:t>
                        </w:r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adatfórum</w:t>
                        </w:r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a</w:t>
                        </w:r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ként jött létre, </w:t>
                        </w:r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hogy </w:t>
                        </w:r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lastRenderedPageBreak/>
                          <w:t xml:space="preserve">adatokat </w:t>
                        </w:r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os</w:t>
                        </w:r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zthassanak meg</w:t>
                        </w:r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a részt vevő </w:t>
                        </w:r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szervek</w:t>
                        </w:r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, és a</w:t>
                        </w:r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mely később a</w:t>
                        </w:r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magánszektorbeli</w:t>
                        </w:r>
                        <w:proofErr w:type="spellEnd"/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vállalatok, elemzők és fejlesztők részvételével</w:t>
                        </w:r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egészült ki</w:t>
                        </w:r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. Ezek a csoportok ezután az adatokat olyan rendszerek és alkalmazások létrehozására használják, amelyek folyamatosan finomítják és </w:t>
                        </w:r>
                        <w:proofErr w:type="spellStart"/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továbbfejlesztik</w:t>
                        </w:r>
                        <w:proofErr w:type="spellEnd"/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a szállítási szolgáltatásokat az ország egész területén</w:t>
                        </w:r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.</w:t>
                        </w:r>
                      </w:p>
                    </w:tc>
                  </w:tr>
                </w:tbl>
                <w:p w:rsidR="000A31DD" w:rsidRPr="000A31DD" w:rsidRDefault="000A31DD" w:rsidP="000A3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pPr w:leftFromText="45" w:rightFromText="45" w:vertAnchor="text"/>
                    <w:tblW w:w="328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2"/>
                  </w:tblGrid>
                  <w:tr w:rsidR="000A31DD" w:rsidRPr="000A31DD" w:rsidTr="00E000BF">
                    <w:trPr>
                      <w:trHeight w:val="73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9" name="Kép 9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 w:rsidTr="00E000BF">
                    <w:trPr>
                      <w:trHeight w:val="38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000BF">
                    <w:trPr>
                      <w:trHeight w:val="73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7E4F81" w:rsidP="001740CC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hyperlink r:id="rId31" w:history="1">
                          <w:r w:rsidR="001740CC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REGIONÁ</w:t>
                          </w:r>
                          <w:r w:rsidR="000A31DD" w:rsidRPr="000A31DD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L</w:t>
                          </w:r>
                          <w:r w:rsidR="001740CC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IS</w:t>
                          </w:r>
                          <w:r w:rsidR="000A31DD" w:rsidRPr="000A31DD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 xml:space="preserve"> </w:t>
                          </w:r>
                          <w:r w:rsidR="001740CC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INNOVÁCIÓS CSOMÓPONT</w:t>
                          </w:r>
                        </w:hyperlink>
                      </w:p>
                    </w:tc>
                  </w:tr>
                  <w:tr w:rsidR="000A31DD" w:rsidRPr="000A31DD" w:rsidTr="00E000BF">
                    <w:trPr>
                      <w:trHeight w:val="38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000BF">
                    <w:trPr>
                      <w:trHeight w:val="3652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6A59" w:rsidRPr="000A31DD" w:rsidRDefault="00956A59" w:rsidP="001740CC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A csomópont az inkubátor előtti </w:t>
                        </w:r>
                        <w:proofErr w:type="spellStart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Propell</w:t>
                        </w:r>
                        <w:proofErr w:type="spellEnd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Innovation</w:t>
                        </w:r>
                        <w:proofErr w:type="spellEnd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rendszert működte</w:t>
                        </w:r>
                        <w:r w:rsidR="001740CC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ti, hogy széles körben vonzza a fejlesztőket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. Az </w:t>
                        </w:r>
                        <w:proofErr w:type="gramStart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extra</w:t>
                        </w:r>
                        <w:proofErr w:type="gramEnd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potenciállal rendelkező innovációk</w:t>
                        </w:r>
                        <w:r w:rsidR="001740CC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at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r w:rsidR="001740CC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bevonják 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a</w:t>
                        </w:r>
                        <w:r w:rsidR="001740CC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="001740CC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Movexum</w:t>
                        </w:r>
                        <w:proofErr w:type="spellEnd"/>
                        <w:r w:rsidR="001740CC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regionális inkubátor programba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. A csomópont </w:t>
                        </w:r>
                        <w:r w:rsidR="001740CC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működteti</w:t>
                        </w:r>
                        <w:r w:rsidR="001740CC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r w:rsidR="001740CC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a </w:t>
                        </w:r>
                        <w:r w:rsidR="001740CC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Fenntartható D</w:t>
                        </w:r>
                        <w:r w:rsidR="001740CC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igitális </w:t>
                        </w:r>
                        <w:r w:rsidR="001740CC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Száloptikai Völgy</w:t>
                        </w:r>
                        <w:r w:rsidR="001740CC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r w:rsidR="001740CC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Digitális Innovációs Központot.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27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0A31DD" w:rsidRPr="000A31DD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 wp14:anchorId="1BA74ACD" wp14:editId="7BED6A31">
                              <wp:extent cx="457200" cy="457200"/>
                              <wp:effectExtent l="0" t="0" r="0" b="0"/>
                              <wp:docPr id="8" name="Kép 8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BD753D" w:rsidP="00BD753D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>A SZEK</w:t>
                        </w:r>
                        <w:r w:rsidR="000A31DD" w:rsidRPr="000A31DD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 xml:space="preserve">TOR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>ÁLTAL ELŐSEGÍTETT INNOVÁCIÓK</w:t>
                        </w:r>
                      </w:p>
                    </w:tc>
                  </w:tr>
                  <w:tr w:rsidR="000A31DD" w:rsidRPr="000A31DD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>
                    <w:tc>
                      <w:tcPr>
                        <w:tcW w:w="0" w:type="auto"/>
                        <w:vAlign w:val="center"/>
                        <w:hideMark/>
                      </w:tcPr>
                      <w:p w:rsidR="00956A59" w:rsidRPr="000A31DD" w:rsidRDefault="00956A59" w:rsidP="000A31DD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A projekt célja a készségekkel kapcsolatos követelmények azonosítása és előre</w:t>
                        </w:r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jelzése az egyes foglalkozási körökben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2030-ig. </w:t>
                        </w:r>
                        <w:proofErr w:type="gramStart"/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A</w:t>
                        </w:r>
                        <w:proofErr w:type="gramEnd"/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24 létrehozott SSC önkéntes, függetle</w:t>
                        </w:r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n, szakmai szakértői egyesület, amely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folyamatosan figyelemmel kíséri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a nemzetgazdaság releváns ágazataiban a munkaerő-piaci igényeket és azok áthelyezését az egész életen át tartó tanulási rendszer</w:t>
                        </w:r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é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be</w:t>
                        </w:r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.</w:t>
                        </w:r>
                      </w:p>
                    </w:tc>
                  </w:tr>
                </w:tbl>
                <w:p w:rsidR="000A31DD" w:rsidRPr="000A31DD" w:rsidRDefault="000A31DD" w:rsidP="000A3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A31DD" w:rsidRPr="000A31DD">
              <w:trPr>
                <w:trHeight w:val="7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31DD" w:rsidRPr="000A31DD" w:rsidRDefault="000A31DD" w:rsidP="000A31DD">
                  <w:pPr>
                    <w:spacing w:after="0" w:line="7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u-HU"/>
                    </w:rPr>
                  </w:pPr>
                  <w:r w:rsidRPr="000A31DD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u-HU"/>
                    </w:rPr>
                    <w:lastRenderedPageBreak/>
                    <w:t> </w:t>
                  </w:r>
                </w:p>
              </w:tc>
            </w:tr>
          </w:tbl>
          <w:p w:rsidR="000A31DD" w:rsidRPr="000A31DD" w:rsidRDefault="000A31DD" w:rsidP="000A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E000BF" w:rsidRDefault="00E000BF" w:rsidP="000A31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E000BF" w:rsidRDefault="00E000BF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br w:type="page"/>
      </w:r>
    </w:p>
    <w:p w:rsidR="000A31DD" w:rsidRPr="000A31DD" w:rsidRDefault="000A31DD" w:rsidP="000A31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31DD" w:rsidRPr="000A31DD" w:rsidTr="000A31D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31DD" w:rsidRPr="000A31DD">
              <w:trPr>
                <w:trHeight w:val="7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31DD" w:rsidRPr="000A31DD" w:rsidRDefault="000A31DD" w:rsidP="000A31DD">
                  <w:pPr>
                    <w:spacing w:after="0" w:line="7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u-HU"/>
                    </w:rPr>
                  </w:pPr>
                  <w:r w:rsidRPr="000A31DD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u-HU"/>
                    </w:rPr>
                    <w:t> </w:t>
                  </w:r>
                </w:p>
              </w:tc>
            </w:tr>
            <w:tr w:rsidR="000A31DD" w:rsidRPr="000A31D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horzAnchor="margin" w:tblpY="270"/>
                    <w:tblOverlap w:val="never"/>
                    <w:tblW w:w="27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0A31DD" w:rsidRPr="000A31DD" w:rsidTr="00E67AB0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7" name="Kép 7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 w:rsidTr="00E67AB0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67AB0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BD753D" w:rsidP="000A31DD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>INTELLIGENS ARÉNÁK</w:t>
                        </w:r>
                      </w:p>
                    </w:tc>
                  </w:tr>
                  <w:tr w:rsidR="000A31DD" w:rsidRPr="000A31DD" w:rsidTr="00E67AB0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67AB0">
                    <w:tc>
                      <w:tcPr>
                        <w:tcW w:w="0" w:type="auto"/>
                        <w:vAlign w:val="center"/>
                        <w:hideMark/>
                      </w:tcPr>
                      <w:p w:rsidR="00956A59" w:rsidRPr="000A31DD" w:rsidRDefault="00956A59" w:rsidP="00BD753D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Az intelligens aréna olyan találkozóhely, ahol a társadalom különféle </w:t>
                        </w:r>
                        <w:proofErr w:type="gramStart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lastRenderedPageBreak/>
                          <w:t>kompetenciái</w:t>
                        </w:r>
                        <w:proofErr w:type="gramEnd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, azaz a kutatás, az üzleti élet, a közszféra, az akadémia és a civil társadalom </w:t>
                        </w:r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tagjai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közösen, együttműködésben dolgozhatnak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. Öt intelligens arénát fejlesztettek öt olyan „erősségi terület” körül, amel</w:t>
                        </w:r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yekről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megállapítottá</w:t>
                        </w:r>
                        <w:r w:rsidR="00BD753D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k</w:t>
                        </w:r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, hogy</w:t>
                        </w:r>
                        <w:r w:rsidR="00BD753D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különösen kiváló körülményeik vannak.</w:t>
                        </w:r>
                      </w:p>
                    </w:tc>
                  </w:tr>
                </w:tbl>
                <w:p w:rsidR="000A31DD" w:rsidRPr="000A31DD" w:rsidRDefault="000A31DD" w:rsidP="000A3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pPr w:leftFromText="45" w:rightFromText="45" w:vertAnchor="text"/>
                    <w:tblW w:w="329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9"/>
                  </w:tblGrid>
                  <w:tr w:rsidR="000A31DD" w:rsidRPr="000A31DD" w:rsidTr="00E000BF">
                    <w:trPr>
                      <w:trHeight w:val="7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6" name="Kép 6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 w:rsidTr="00E000BF">
                    <w:trPr>
                      <w:trHeight w:val="36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000BF">
                    <w:trPr>
                      <w:trHeight w:val="7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7E4F81" w:rsidP="000A31DD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hyperlink r:id="rId35" w:history="1">
                          <w:r w:rsidR="00BD753D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AZ ÉLŐHELY 4.0 PROJEK</w:t>
                          </w:r>
                          <w:r w:rsidR="000A31DD" w:rsidRPr="000A31DD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T</w:t>
                          </w:r>
                        </w:hyperlink>
                      </w:p>
                    </w:tc>
                  </w:tr>
                  <w:tr w:rsidR="000A31DD" w:rsidRPr="000A31DD" w:rsidTr="00E000BF">
                    <w:trPr>
                      <w:trHeight w:val="36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 w:rsidTr="00E000BF">
                    <w:trPr>
                      <w:trHeight w:val="420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6A59" w:rsidRPr="000A31DD" w:rsidRDefault="00956A59" w:rsidP="00BD753D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A projekt célja az volt, hogy megismerje az élőhely-ágazat egészének </w:t>
                        </w:r>
                        <w:proofErr w:type="spellStart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digitalizálódási</w:t>
                        </w:r>
                        <w:proofErr w:type="spellEnd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szintjét, és </w:t>
                        </w:r>
                        <w:proofErr w:type="gramStart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objektív</w:t>
                        </w:r>
                        <w:proofErr w:type="gramEnd"/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kritériumok alapján meghatározza azon projektek kidolgozhatóságának </w:t>
                        </w:r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az 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életképességét, amelyek lehetővé teszik olyan technológiák megvalósítását, amelyek </w:t>
                        </w:r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segítségével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az ágazatban működő vállalkozás</w:t>
                        </w:r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ok elérhetik azt a kívánt szintet, ami az üzleti stratégiájuk</w:t>
                        </w:r>
                        <w:r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nak megfelelő digitalizálás</w:t>
                        </w:r>
                        <w:r w:rsidR="00BD753D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i szintet jelenti.</w:t>
                        </w:r>
                      </w:p>
                    </w:tc>
                  </w:tr>
                  <w:tr w:rsidR="000A31DD" w:rsidRPr="000A31DD" w:rsidTr="00E000BF">
                    <w:trPr>
                      <w:trHeight w:val="438"/>
                    </w:trPr>
                    <w:tc>
                      <w:tcPr>
                        <w:tcW w:w="3299" w:type="dxa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27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5"/>
                  </w:tblGrid>
                  <w:tr w:rsidR="000A31DD" w:rsidRPr="000A31DD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457200" cy="457200"/>
                              <wp:effectExtent l="0" t="0" r="0" b="0"/>
                              <wp:docPr id="5" name="Kép 5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31DD" w:rsidRPr="000A31DD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7E4F81" w:rsidP="00404926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lang w:eastAsia="hu-HU"/>
                          </w:rPr>
                        </w:pPr>
                        <w:hyperlink r:id="rId37" w:history="1">
                          <w:r w:rsidR="000A31DD" w:rsidRPr="000A31DD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 xml:space="preserve">5G </w:t>
                          </w:r>
                          <w:r w:rsidR="00404926">
                            <w:rPr>
                              <w:rFonts w:ascii="Arial" w:eastAsia="Times New Roman" w:hAnsi="Arial" w:cs="Arial"/>
                              <w:b/>
                              <w:bCs/>
                              <w:color w:val="333333"/>
                              <w:spacing w:val="15"/>
                              <w:sz w:val="23"/>
                              <w:szCs w:val="23"/>
                              <w:u w:val="single"/>
                              <w:lang w:eastAsia="hu-HU"/>
                            </w:rPr>
                            <w:t>KILÉPÉSI</w:t>
                          </w:r>
                        </w:hyperlink>
                        <w:r w:rsidR="00404926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pacing w:val="15"/>
                            <w:sz w:val="23"/>
                            <w:szCs w:val="23"/>
                            <w:u w:val="single"/>
                            <w:lang w:eastAsia="hu-HU"/>
                          </w:rPr>
                          <w:t xml:space="preserve"> KÖZPONT</w:t>
                        </w:r>
                      </w:p>
                    </w:tc>
                  </w:tr>
                  <w:tr w:rsidR="000A31DD" w:rsidRPr="000A31DD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31DD" w:rsidRPr="000A31DD" w:rsidRDefault="000A31DD" w:rsidP="000A31DD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</w:pPr>
                        <w:r w:rsidRPr="000A31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0A31DD" w:rsidRPr="000A31DD">
                    <w:tc>
                      <w:tcPr>
                        <w:tcW w:w="0" w:type="auto"/>
                        <w:vAlign w:val="center"/>
                        <w:hideMark/>
                      </w:tcPr>
                      <w:p w:rsidR="00956A59" w:rsidRPr="000A31DD" w:rsidRDefault="00404926" w:rsidP="00404926">
                        <w:pPr>
                          <w:spacing w:after="0" w:line="360" w:lineRule="atLeast"/>
                          <w:jc w:val="center"/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A Digital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Innovation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Hub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-ok</w:t>
                        </w:r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és az 5G </w:t>
                        </w:r>
                        <w:proofErr w:type="spellStart"/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Step</w:t>
                        </w:r>
                        <w:proofErr w:type="spellEnd"/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-Out Center célja az innovatív termék</w:t>
                        </w:r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ek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prototípusai</w:t>
                        </w:r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nak</w:t>
                        </w:r>
                        <w:proofErr w:type="gramEnd"/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a </w:t>
                        </w:r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kialakítása valósághű és</w:t>
                        </w:r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átfogó környezetben. A Kilépési</w:t>
                        </w:r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Központ lehetővé teszi a koncepcióbiztos </w:t>
                        </w:r>
                        <w:proofErr w:type="gramStart"/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prototípusok</w:t>
                        </w:r>
                        <w:proofErr w:type="gramEnd"/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gyors </w:t>
                        </w:r>
                        <w:r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kifejlesztésé</w:t>
                        </w:r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t, valamint a rugalmasság, a biztonság és a megbízhatóság értékelésére szolgáló projekteket az 5G </w:t>
                        </w:r>
                        <w:proofErr w:type="spellStart"/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>domain</w:t>
                        </w:r>
                        <w:proofErr w:type="spellEnd"/>
                        <w:r w:rsidR="00956A59" w:rsidRPr="00956A59">
                          <w:rPr>
                            <w:rFonts w:ascii="Arial" w:eastAsia="Times New Roman" w:hAnsi="Arial" w:cs="Arial"/>
                            <w:color w:val="8F96A1"/>
                            <w:sz w:val="20"/>
                            <w:szCs w:val="20"/>
                            <w:lang w:eastAsia="hu-HU"/>
                          </w:rPr>
                          <w:t xml:space="preserve"> különböző hálózati területein.</w:t>
                        </w:r>
                      </w:p>
                    </w:tc>
                  </w:tr>
                </w:tbl>
                <w:p w:rsidR="000A31DD" w:rsidRPr="000A31DD" w:rsidRDefault="000A31DD" w:rsidP="000A3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A31DD" w:rsidRPr="000A31DD">
              <w:trPr>
                <w:trHeight w:val="7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31DD" w:rsidRPr="000A31DD" w:rsidRDefault="000A31DD" w:rsidP="000A31DD">
                  <w:pPr>
                    <w:spacing w:after="0" w:line="7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u-HU"/>
                    </w:rPr>
                  </w:pPr>
                  <w:r w:rsidRPr="000A31DD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hu-HU"/>
                    </w:rPr>
                    <w:lastRenderedPageBreak/>
                    <w:t> </w:t>
                  </w:r>
                </w:p>
              </w:tc>
            </w:tr>
          </w:tbl>
          <w:p w:rsidR="000A31DD" w:rsidRPr="000A31DD" w:rsidRDefault="000A31DD" w:rsidP="000A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hu-HU"/>
              </w:rPr>
            </w:pPr>
          </w:p>
        </w:tc>
      </w:tr>
    </w:tbl>
    <w:p w:rsidR="00E67AB0" w:rsidRDefault="00E67AB0" w:rsidP="000A31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E67AB0" w:rsidRDefault="00E67AB0">
      <w:pPr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sectPr w:rsidR="00E67AB0" w:rsidSect="00E000BF">
      <w:headerReference w:type="default" r:id="rId38"/>
      <w:footerReference w:type="default" r:id="rId39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81" w:rsidRDefault="007E4F81" w:rsidP="00E000BF">
      <w:pPr>
        <w:spacing w:after="0" w:line="240" w:lineRule="auto"/>
      </w:pPr>
      <w:r>
        <w:separator/>
      </w:r>
    </w:p>
  </w:endnote>
  <w:endnote w:type="continuationSeparator" w:id="0">
    <w:p w:rsidR="007E4F81" w:rsidRDefault="007E4F81" w:rsidP="00E0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BF" w:rsidRDefault="007E4F81" w:rsidP="00E000BF">
    <w:pPr>
      <w:pStyle w:val="llb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50.3pt;margin-top:695.2pt;width:150.55pt;height:49.55pt;z-index:251661312;mso-position-horizontal-relative:margin;mso-position-vertical-relative:margin;mso-width-relative:page;mso-height-relative:page">
          <v:imagedata r:id="rId1" o:title="INNO-INDUSTRY_EU_FLAG" croptop="39205f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81" w:rsidRDefault="007E4F81" w:rsidP="00E000BF">
      <w:pPr>
        <w:spacing w:after="0" w:line="240" w:lineRule="auto"/>
      </w:pPr>
      <w:r>
        <w:separator/>
      </w:r>
    </w:p>
  </w:footnote>
  <w:footnote w:type="continuationSeparator" w:id="0">
    <w:p w:rsidR="007E4F81" w:rsidRDefault="007E4F81" w:rsidP="00E0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BF" w:rsidRDefault="00E000BF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1628140</wp:posOffset>
          </wp:positionH>
          <wp:positionV relativeFrom="paragraph">
            <wp:posOffset>-33020</wp:posOffset>
          </wp:positionV>
          <wp:extent cx="2286000" cy="1329055"/>
          <wp:effectExtent l="0" t="0" r="0" b="4445"/>
          <wp:wrapTopAndBottom/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NNO-INDUST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DD"/>
    <w:rsid w:val="00031B18"/>
    <w:rsid w:val="000A31DD"/>
    <w:rsid w:val="000C0D9B"/>
    <w:rsid w:val="001740CC"/>
    <w:rsid w:val="00194D07"/>
    <w:rsid w:val="00272374"/>
    <w:rsid w:val="002D3841"/>
    <w:rsid w:val="002F2551"/>
    <w:rsid w:val="003B26FC"/>
    <w:rsid w:val="00404926"/>
    <w:rsid w:val="004E1305"/>
    <w:rsid w:val="0052127E"/>
    <w:rsid w:val="00687290"/>
    <w:rsid w:val="00742992"/>
    <w:rsid w:val="00745AEB"/>
    <w:rsid w:val="00783CF5"/>
    <w:rsid w:val="007E4F81"/>
    <w:rsid w:val="00874940"/>
    <w:rsid w:val="009072BE"/>
    <w:rsid w:val="00956A59"/>
    <w:rsid w:val="00BD753D"/>
    <w:rsid w:val="00C83311"/>
    <w:rsid w:val="00E000BF"/>
    <w:rsid w:val="00E67AB0"/>
    <w:rsid w:val="00F4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7A483B"/>
  <w15:chartTrackingRefBased/>
  <w15:docId w15:val="{2E1E7917-A04B-4973-8230-491E0065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A31D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0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00BF"/>
  </w:style>
  <w:style w:type="paragraph" w:styleId="llb">
    <w:name w:val="footer"/>
    <w:basedOn w:val="Norml"/>
    <w:link w:val="llbChar"/>
    <w:uiPriority w:val="99"/>
    <w:unhideWhenUsed/>
    <w:rsid w:val="00E0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3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0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85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9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9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image" Target="media/image18.png"/><Relationship Id="rId7" Type="http://schemas.openxmlformats.org/officeDocument/2006/relationships/image" Target="media/image1.png"/><Relationship Id="rId12" Type="http://schemas.openxmlformats.org/officeDocument/2006/relationships/hyperlink" Target="https://www.interregeurope.eu/policylearning/good-practices/item/3710/usmed-and-surgery-assist-software-medical-asssitants-for-the-medicalimaging-sector-in-north-east/" TargetMode="External"/><Relationship Id="rId17" Type="http://schemas.openxmlformats.org/officeDocument/2006/relationships/hyperlink" Target="https://www.interregeurope.eu/policylearning/good-practices/item/3735/lower-austrian-initiative-for-artificial-intelligence/" TargetMode="External"/><Relationship Id="rId25" Type="http://schemas.openxmlformats.org/officeDocument/2006/relationships/hyperlink" Target="https://www.interregeurope.eu/policylearning/good-practices/item/4034/small-scale-incentives-for-smes-vouchers/" TargetMode="External"/><Relationship Id="rId33" Type="http://schemas.openxmlformats.org/officeDocument/2006/relationships/image" Target="media/image17.png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s://www.interregeurope.eu/policylearning/good-practices/item/3974/uk-open-data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terregeurope.eu/innoindustry/news/news-article/8024/improving-digitalisation-support-through-clusters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hyperlink" Target="https://www.interregeurope.eu/policylearning/good-practices/item/3973/digital-innovation-hubs-and-the-5g-step-out-centre/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yperlink" Target="https://www.interregeurope.eu/policylearning/good-practices/item/3960/kickstart-digitalization/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9.png"/><Relationship Id="rId10" Type="http://schemas.openxmlformats.org/officeDocument/2006/relationships/hyperlink" Target="https://www.interregeurope.eu/policylearning/good-practices/item/3734/lower-austrian-house-of-digitalization/" TargetMode="External"/><Relationship Id="rId19" Type="http://schemas.openxmlformats.org/officeDocument/2006/relationships/hyperlink" Target="https://www.interregeurope.eu/policylearning/good-practices/item/3741/business-and-shared-services-center-of-fundao/" TargetMode="External"/><Relationship Id="rId31" Type="http://schemas.openxmlformats.org/officeDocument/2006/relationships/hyperlink" Target="https://www.interregeurope.eu/policylearning/good-practices/item/3944/regional-innovation-node-north-haelsingland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ww.interregeurope.eu/policylearning/good-practices/item/3747/sig-habitat-information-and-management-system-of-the-sustainable-habitat-cluster/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www.interregeurope.eu/policylearning/good-practices/item/4035/transylvania-info-portal/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s://www.interregeurope.eu/policylearning/good-practices/item/3904/habitat-4-0-projec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7</Pages>
  <Words>1207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Viktória</dc:creator>
  <cp:keywords/>
  <dc:description/>
  <cp:lastModifiedBy>Décsi Delinke Eszter</cp:lastModifiedBy>
  <cp:revision>8</cp:revision>
  <dcterms:created xsi:type="dcterms:W3CDTF">2020-07-16T13:46:00Z</dcterms:created>
  <dcterms:modified xsi:type="dcterms:W3CDTF">2020-07-18T03:24:00Z</dcterms:modified>
</cp:coreProperties>
</file>